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BD2FA" w14:textId="77777777" w:rsidR="00F74F4D" w:rsidRPr="00F74F4D" w:rsidRDefault="00240637" w:rsidP="00F74F4D">
      <w:pPr>
        <w:spacing w:after="0"/>
        <w:rPr>
          <w:rFonts w:asciiTheme="majorHAnsi" w:hAnsiTheme="majorHAnsi" w:cstheme="majorHAnsi"/>
          <w:color w:val="005596"/>
          <w:sz w:val="24"/>
          <w:szCs w:val="24"/>
        </w:rPr>
      </w:pPr>
      <w:r>
        <w:rPr>
          <w:rFonts w:asciiTheme="majorHAnsi" w:hAnsiTheme="majorHAnsi" w:cstheme="majorHAnsi"/>
          <w:strike/>
          <w:noProof/>
          <w:color w:val="005596"/>
          <w:sz w:val="36"/>
          <w:szCs w:val="36"/>
        </w:rPr>
        <w:drawing>
          <wp:inline distT="0" distB="0" distL="0" distR="0" wp14:anchorId="0A844539" wp14:editId="0F604286">
            <wp:extent cx="5943600" cy="965835"/>
            <wp:effectExtent l="0" t="0" r="0" b="0"/>
            <wp:docPr id="8" name="Picture 8"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r w:rsidRPr="008A5B62">
        <w:rPr>
          <w:rFonts w:asciiTheme="majorHAnsi" w:hAnsiTheme="majorHAnsi" w:cstheme="majorHAnsi"/>
          <w:strike/>
          <w:color w:val="005596"/>
          <w:sz w:val="36"/>
          <w:szCs w:val="36"/>
        </w:rPr>
        <w:br/>
      </w:r>
    </w:p>
    <w:p w14:paraId="1EDA1C54" w14:textId="5EE9648F" w:rsidR="00240637" w:rsidRPr="008A5B62" w:rsidRDefault="00240637" w:rsidP="00F74F4D">
      <w:pPr>
        <w:spacing w:after="0"/>
        <w:rPr>
          <w:rFonts w:asciiTheme="majorHAnsi" w:hAnsiTheme="majorHAnsi" w:cstheme="majorHAnsi"/>
          <w:color w:val="005596"/>
          <w:sz w:val="36"/>
          <w:szCs w:val="36"/>
        </w:rPr>
      </w:pPr>
      <w:r w:rsidRPr="008A5B62">
        <w:rPr>
          <w:rFonts w:asciiTheme="majorHAnsi" w:hAnsiTheme="majorHAnsi" w:cstheme="majorHAnsi"/>
          <w:color w:val="005596"/>
          <w:sz w:val="36"/>
          <w:szCs w:val="36"/>
        </w:rPr>
        <w:t xml:space="preserve">Improve </w:t>
      </w:r>
      <w:r w:rsidR="00D11C4D">
        <w:rPr>
          <w:rFonts w:asciiTheme="majorHAnsi" w:hAnsiTheme="majorHAnsi" w:cstheme="majorHAnsi"/>
          <w:color w:val="005596"/>
          <w:sz w:val="36"/>
          <w:szCs w:val="36"/>
        </w:rPr>
        <w:t>Pipeline</w:t>
      </w:r>
      <w:r w:rsidRPr="008A5B62">
        <w:rPr>
          <w:rFonts w:asciiTheme="majorHAnsi" w:hAnsiTheme="majorHAnsi" w:cstheme="majorHAnsi"/>
          <w:color w:val="005596"/>
          <w:sz w:val="36"/>
          <w:szCs w:val="36"/>
        </w:rPr>
        <w:t xml:space="preserve"> Leak Detection and Mitigation</w:t>
      </w:r>
    </w:p>
    <w:p w14:paraId="307D8521" w14:textId="77777777" w:rsidR="00240637" w:rsidRPr="00D42121" w:rsidRDefault="00D11C4D" w:rsidP="00240637">
      <w:pPr>
        <w:rPr>
          <w:bCs/>
          <w:sz w:val="28"/>
          <w:szCs w:val="28"/>
        </w:rPr>
      </w:pPr>
      <w:r>
        <w:rPr>
          <w:rFonts w:ascii="Times New Roman" w:hAnsi="Times New Roman" w:cs="Times New Roman"/>
          <w:noProof/>
          <w:sz w:val="24"/>
          <w:szCs w:val="24"/>
        </w:rPr>
        <w:pict w14:anchorId="7AE4C599">
          <v:rect id="_x0000_i1025" alt="" style="width:468pt;height:.05pt;mso-width-percent:0;mso-height-percent:0;mso-width-percent:0;mso-height-percent:0" o:hralign="center" o:hrstd="t" o:hr="t" fillcolor="#a0a0a0" stroked="f"/>
        </w:pict>
      </w:r>
    </w:p>
    <w:p w14:paraId="0B1E73BC" w14:textId="6001F01F" w:rsidR="00425659" w:rsidRPr="00240637" w:rsidRDefault="00425659" w:rsidP="00240637">
      <w:pPr>
        <w:rPr>
          <w:rFonts w:eastAsia="Calibri" w:cstheme="minorHAnsi"/>
          <w:sz w:val="24"/>
          <w:szCs w:val="24"/>
          <w:shd w:val="clear" w:color="auto" w:fill="FFFFFF"/>
        </w:rPr>
      </w:pPr>
      <w:r w:rsidRPr="00240637">
        <w:rPr>
          <w:rFonts w:eastAsia="Calibri" w:cstheme="minorHAnsi"/>
          <w:sz w:val="28"/>
          <w:szCs w:val="28"/>
          <w:shd w:val="clear" w:color="auto" w:fill="FFFFFF"/>
        </w:rPr>
        <w:t>Pacific Gas and Electric Company Natural Gas Pipeline Rupture and Fire</w:t>
      </w:r>
      <w:r w:rsidR="00240637">
        <w:rPr>
          <w:rFonts w:eastAsia="Calibri" w:cstheme="minorHAnsi"/>
          <w:sz w:val="28"/>
          <w:szCs w:val="28"/>
          <w:shd w:val="clear" w:color="auto" w:fill="FFFFFF"/>
        </w:rPr>
        <w:br/>
      </w:r>
      <w:r w:rsidRPr="00240637">
        <w:rPr>
          <w:rFonts w:eastAsia="Calibri" w:cstheme="minorHAnsi"/>
          <w:sz w:val="24"/>
          <w:szCs w:val="24"/>
          <w:shd w:val="clear" w:color="auto" w:fill="FFFFFF"/>
        </w:rPr>
        <w:t>San Bruno, California</w:t>
      </w:r>
      <w:r w:rsidR="00240637">
        <w:rPr>
          <w:rFonts w:eastAsia="Calibri" w:cstheme="minorHAnsi"/>
          <w:sz w:val="24"/>
          <w:szCs w:val="24"/>
          <w:shd w:val="clear" w:color="auto" w:fill="FFFFFF"/>
        </w:rPr>
        <w:br/>
      </w:r>
      <w:r w:rsidRPr="00240637">
        <w:rPr>
          <w:rFonts w:eastAsia="Calibri" w:cstheme="minorHAnsi"/>
          <w:sz w:val="24"/>
          <w:szCs w:val="24"/>
          <w:shd w:val="clear" w:color="auto" w:fill="FFFFFF"/>
        </w:rPr>
        <w:t>September 9, 2010</w:t>
      </w:r>
    </w:p>
    <w:p w14:paraId="6FF35502" w14:textId="7EAD70EB" w:rsidR="003254FB" w:rsidRPr="00987C10" w:rsidRDefault="00CC507F" w:rsidP="00425659">
      <w:pPr>
        <w:autoSpaceDE w:val="0"/>
        <w:autoSpaceDN w:val="0"/>
        <w:adjustRightInd w:val="0"/>
        <w:spacing w:after="0" w:line="240" w:lineRule="auto"/>
        <w:rPr>
          <w:rFonts w:eastAsia="Calibri" w:cstheme="minorHAnsi"/>
          <w:sz w:val="24"/>
          <w:szCs w:val="24"/>
          <w:shd w:val="clear" w:color="auto" w:fill="FFFFFF"/>
        </w:rPr>
      </w:pPr>
      <w:bookmarkStart w:id="0" w:name="_Hlk63329168"/>
      <w:r w:rsidRPr="00987C10">
        <w:rPr>
          <w:rFonts w:cstheme="minorHAnsi"/>
          <w:sz w:val="24"/>
          <w:szCs w:val="24"/>
        </w:rPr>
        <w:t xml:space="preserve">This is an excerpt from the full investigative report. </w:t>
      </w:r>
      <w:r w:rsidR="007065D7" w:rsidRPr="00987C10">
        <w:rPr>
          <w:rFonts w:cstheme="minorHAnsi"/>
          <w:b/>
          <w:bCs/>
          <w:sz w:val="24"/>
          <w:szCs w:val="24"/>
        </w:rPr>
        <w:t>This information does not include all the safety issues, findings</w:t>
      </w:r>
      <w:r w:rsidR="00E219DA" w:rsidRPr="00987C10">
        <w:rPr>
          <w:rFonts w:cstheme="minorHAnsi"/>
          <w:b/>
          <w:bCs/>
          <w:sz w:val="24"/>
          <w:szCs w:val="24"/>
        </w:rPr>
        <w:t>,</w:t>
      </w:r>
      <w:r w:rsidR="007065D7" w:rsidRPr="00987C10">
        <w:rPr>
          <w:rFonts w:cstheme="minorHAnsi"/>
          <w:b/>
          <w:bCs/>
          <w:sz w:val="24"/>
          <w:szCs w:val="24"/>
        </w:rPr>
        <w:t xml:space="preserve"> and recommendations issued in the report, but instead focuses on </w:t>
      </w:r>
      <w:r w:rsidR="00E219DA" w:rsidRPr="00987C10">
        <w:rPr>
          <w:rFonts w:cstheme="minorHAnsi"/>
          <w:b/>
          <w:bCs/>
          <w:sz w:val="24"/>
          <w:szCs w:val="24"/>
        </w:rPr>
        <w:t>those that are</w:t>
      </w:r>
      <w:r w:rsidR="007065D7" w:rsidRPr="00987C10">
        <w:rPr>
          <w:rFonts w:cstheme="minorHAnsi"/>
          <w:b/>
          <w:bCs/>
          <w:sz w:val="24"/>
          <w:szCs w:val="24"/>
        </w:rPr>
        <w:t xml:space="preserve"> directly related to the safety item</w:t>
      </w:r>
      <w:r w:rsidR="0052591E" w:rsidRPr="00987C10">
        <w:rPr>
          <w:rFonts w:cstheme="minorHAnsi"/>
          <w:bCs/>
          <w:sz w:val="24"/>
          <w:szCs w:val="24"/>
        </w:rPr>
        <w:t>.</w:t>
      </w:r>
      <w:r w:rsidR="007065D7" w:rsidRPr="00987C10">
        <w:rPr>
          <w:rFonts w:cstheme="minorHAnsi"/>
          <w:sz w:val="24"/>
          <w:szCs w:val="24"/>
        </w:rPr>
        <w:t xml:space="preserve"> </w:t>
      </w:r>
      <w:r w:rsidR="00D24502" w:rsidRPr="00987C10">
        <w:rPr>
          <w:rFonts w:cstheme="minorHAnsi"/>
          <w:sz w:val="24"/>
          <w:szCs w:val="24"/>
        </w:rPr>
        <w:t>Read the complete</w:t>
      </w:r>
      <w:r w:rsidRPr="00987C10">
        <w:rPr>
          <w:rFonts w:cstheme="minorHAnsi"/>
          <w:sz w:val="24"/>
          <w:szCs w:val="24"/>
        </w:rPr>
        <w:t xml:space="preserve"> report</w:t>
      </w:r>
      <w:bookmarkEnd w:id="0"/>
      <w:r w:rsidRPr="00987C10">
        <w:rPr>
          <w:rFonts w:cstheme="minorHAnsi"/>
          <w:sz w:val="24"/>
          <w:szCs w:val="24"/>
        </w:rPr>
        <w:t xml:space="preserve"> </w:t>
      </w:r>
      <w:hyperlink r:id="rId11" w:history="1">
        <w:r w:rsidR="00425659" w:rsidRPr="00987C10">
          <w:rPr>
            <w:rStyle w:val="Hyperlink"/>
            <w:rFonts w:eastAsia="Calibri" w:cstheme="minorHAnsi"/>
            <w:color w:val="0000FF"/>
            <w:sz w:val="24"/>
            <w:szCs w:val="24"/>
            <w:u w:val="single"/>
            <w:shd w:val="clear" w:color="auto" w:fill="FFFFFF"/>
          </w:rPr>
          <w:t>https://ntsb.gov/investigations/AccidentReports/Reports/PAR1101.pdf</w:t>
        </w:r>
      </w:hyperlink>
      <w:r w:rsidR="00D76139">
        <w:rPr>
          <w:rStyle w:val="Hyperlink"/>
          <w:rFonts w:eastAsia="Calibri" w:cstheme="minorHAnsi"/>
          <w:color w:val="0000FF"/>
          <w:sz w:val="24"/>
          <w:szCs w:val="24"/>
          <w:u w:val="single"/>
          <w:shd w:val="clear" w:color="auto" w:fill="FFFFFF"/>
        </w:rPr>
        <w:br/>
      </w:r>
    </w:p>
    <w:p w14:paraId="09FE054B" w14:textId="77777777" w:rsidR="00240637" w:rsidRDefault="00240637" w:rsidP="00425659">
      <w:pPr>
        <w:rPr>
          <w:rFonts w:cstheme="minorHAnsi"/>
          <w:b/>
          <w:bCs/>
          <w:sz w:val="24"/>
          <w:szCs w:val="24"/>
        </w:rPr>
      </w:pPr>
      <w:r w:rsidRPr="00987C10">
        <w:rPr>
          <w:rFonts w:cstheme="minorHAnsi"/>
          <w:b/>
          <w:bCs/>
          <w:sz w:val="24"/>
          <w:szCs w:val="24"/>
        </w:rPr>
        <w:t>What Happened</w:t>
      </w:r>
    </w:p>
    <w:p w14:paraId="7EFB17A9" w14:textId="7B4508BF" w:rsidR="00240637" w:rsidRDefault="00F56210" w:rsidP="00425659">
      <w:pPr>
        <w:rPr>
          <w:rFonts w:cstheme="minorHAnsi"/>
          <w:sz w:val="24"/>
          <w:szCs w:val="24"/>
        </w:rPr>
      </w:pPr>
      <w:r w:rsidRPr="00987C10">
        <w:rPr>
          <w:rFonts w:cstheme="minorHAnsi"/>
          <w:sz w:val="24"/>
          <w:szCs w:val="24"/>
        </w:rPr>
        <w:t>On September 9, 2010, a 30-inch-diameter segment of an intrastate natural gas transmission pipeline</w:t>
      </w:r>
      <w:r w:rsidR="00E219DA" w:rsidRPr="00987C10">
        <w:rPr>
          <w:rFonts w:cstheme="minorHAnsi"/>
          <w:sz w:val="24"/>
          <w:szCs w:val="24"/>
        </w:rPr>
        <w:t>,</w:t>
      </w:r>
      <w:r w:rsidRPr="00987C10">
        <w:rPr>
          <w:rFonts w:cstheme="minorHAnsi"/>
          <w:sz w:val="24"/>
          <w:szCs w:val="24"/>
        </w:rPr>
        <w:t xml:space="preserve"> known as Line 132, </w:t>
      </w:r>
      <w:proofErr w:type="gramStart"/>
      <w:r w:rsidRPr="00987C10">
        <w:rPr>
          <w:rFonts w:cstheme="minorHAnsi"/>
          <w:sz w:val="24"/>
          <w:szCs w:val="24"/>
        </w:rPr>
        <w:t>owned</w:t>
      </w:r>
      <w:proofErr w:type="gramEnd"/>
      <w:r w:rsidRPr="00987C10">
        <w:rPr>
          <w:rFonts w:cstheme="minorHAnsi"/>
          <w:sz w:val="24"/>
          <w:szCs w:val="24"/>
        </w:rPr>
        <w:t xml:space="preserve"> and operated by the Pacific Gas and Electric Company (PG&amp;E), ruptured in a residential area in San Bruno, California. The rupture produced a crater about 72 feet long by 26 feet wide. The section of pipe that ruptured, which was about 28 feet long and weighed about 3,000 pounds, was found 100 feet south of the crater. PG&amp;E estimated that 47.6 million standard cubic feet of natural gas was released. The released natural gas ignited, resulting in a fire that destroyed 38 homes and damaged 70. Eight people were killed, many were injured, and many more were evacuated from the area.</w:t>
      </w:r>
    </w:p>
    <w:p w14:paraId="009B4E32" w14:textId="57BBA0AC" w:rsidR="00D24502" w:rsidRPr="00987C10" w:rsidRDefault="00240637" w:rsidP="00425659">
      <w:pPr>
        <w:rPr>
          <w:rFonts w:cstheme="minorHAnsi"/>
          <w:b/>
          <w:bCs/>
          <w:sz w:val="24"/>
          <w:szCs w:val="24"/>
        </w:rPr>
      </w:pPr>
      <w:r w:rsidRPr="00987C10">
        <w:rPr>
          <w:rFonts w:cstheme="minorHAnsi"/>
          <w:b/>
          <w:bCs/>
          <w:sz w:val="24"/>
          <w:szCs w:val="24"/>
        </w:rPr>
        <w:t xml:space="preserve">Why It Happened </w:t>
      </w:r>
    </w:p>
    <w:p w14:paraId="51D384DA" w14:textId="1C8F8BFB" w:rsidR="00425659" w:rsidRPr="00240637" w:rsidRDefault="00240637" w:rsidP="00F74F4D">
      <w:pPr>
        <w:spacing w:after="0" w:line="240" w:lineRule="auto"/>
        <w:rPr>
          <w:rFonts w:cstheme="minorHAnsi"/>
          <w:b/>
          <w:bCs/>
          <w:color w:val="005596"/>
          <w:sz w:val="24"/>
          <w:szCs w:val="24"/>
        </w:rPr>
      </w:pPr>
      <w:r w:rsidRPr="00240637">
        <w:rPr>
          <w:rFonts w:cstheme="minorHAnsi"/>
          <w:b/>
          <w:bCs/>
          <w:color w:val="005596"/>
          <w:sz w:val="24"/>
          <w:szCs w:val="24"/>
        </w:rPr>
        <w:t>Probable Cause</w:t>
      </w:r>
      <w:r w:rsidRPr="00240637">
        <w:rPr>
          <w:rFonts w:cstheme="minorHAnsi"/>
          <w:color w:val="005596"/>
          <w:sz w:val="24"/>
          <w:szCs w:val="24"/>
        </w:rPr>
        <w:t>:</w:t>
      </w:r>
    </w:p>
    <w:p w14:paraId="7066A034" w14:textId="5585DBFD" w:rsidR="00F56210" w:rsidRPr="00987C10" w:rsidRDefault="00F56210" w:rsidP="00425659">
      <w:pPr>
        <w:rPr>
          <w:rFonts w:cstheme="minorHAnsi"/>
          <w:sz w:val="24"/>
          <w:szCs w:val="24"/>
        </w:rPr>
      </w:pPr>
      <w:r w:rsidRPr="00987C10">
        <w:rPr>
          <w:rFonts w:cstheme="minorHAnsi"/>
          <w:sz w:val="24"/>
          <w:szCs w:val="24"/>
        </w:rPr>
        <w:t>The National Transportation Safety Board determine</w:t>
      </w:r>
      <w:r w:rsidR="005A7CBE" w:rsidRPr="00987C10">
        <w:rPr>
          <w:rFonts w:cstheme="minorHAnsi"/>
          <w:sz w:val="24"/>
          <w:szCs w:val="24"/>
        </w:rPr>
        <w:t>d</w:t>
      </w:r>
      <w:r w:rsidRPr="00987C10">
        <w:rPr>
          <w:rFonts w:cstheme="minorHAnsi"/>
          <w:sz w:val="24"/>
          <w:szCs w:val="24"/>
        </w:rPr>
        <w:t xml:space="preserve"> that the probable cause of the accident was PG&amp;E</w:t>
      </w:r>
      <w:r w:rsidR="005A7CBE" w:rsidRPr="00987C10">
        <w:rPr>
          <w:rFonts w:cstheme="minorHAnsi"/>
          <w:sz w:val="24"/>
          <w:szCs w:val="24"/>
        </w:rPr>
        <w:t>’s</w:t>
      </w:r>
      <w:r w:rsidRPr="00987C10">
        <w:rPr>
          <w:rFonts w:cstheme="minorHAnsi"/>
          <w:sz w:val="24"/>
          <w:szCs w:val="24"/>
        </w:rPr>
        <w:t xml:space="preserve"> (1) inadequate quality assurance and quality control in 1956 during its Line 132 relocation project, which allowed the installation of a substandard and poorly welded pipe section with a visible seam weld flaw that, over time</w:t>
      </w:r>
      <w:r w:rsidR="00206127" w:rsidRPr="00987C10">
        <w:rPr>
          <w:rFonts w:cstheme="minorHAnsi"/>
          <w:sz w:val="24"/>
          <w:szCs w:val="24"/>
        </w:rPr>
        <w:t>,</w:t>
      </w:r>
      <w:r w:rsidRPr="00987C10">
        <w:rPr>
          <w:rFonts w:cstheme="minorHAnsi"/>
          <w:sz w:val="24"/>
          <w:szCs w:val="24"/>
        </w:rPr>
        <w:t xml:space="preserve"> grew to a critical size, causing the pipeline to rupture during a pressure increase stemming from poorly planned electrical work at the Milpitas Terminal; and (2) inadequate pipeline integrity management program, which failed to detect and repair or remove the defective pipe section. </w:t>
      </w:r>
    </w:p>
    <w:p w14:paraId="7CCA19EC" w14:textId="5145AC85" w:rsidR="00F56210" w:rsidRDefault="00F56210" w:rsidP="00425659">
      <w:pPr>
        <w:rPr>
          <w:sz w:val="24"/>
          <w:szCs w:val="24"/>
        </w:rPr>
      </w:pPr>
      <w:r w:rsidRPr="00987C10">
        <w:rPr>
          <w:rFonts w:cstheme="minorHAnsi"/>
          <w:sz w:val="24"/>
          <w:szCs w:val="24"/>
        </w:rPr>
        <w:t>Contributing to the accident were the California Public Utilities Commission’s (CPUC</w:t>
      </w:r>
      <w:r w:rsidR="007655B5" w:rsidRPr="00987C10">
        <w:rPr>
          <w:rFonts w:cstheme="minorHAnsi"/>
          <w:sz w:val="24"/>
          <w:szCs w:val="24"/>
        </w:rPr>
        <w:t>’s</w:t>
      </w:r>
      <w:r w:rsidRPr="00987C10">
        <w:rPr>
          <w:rFonts w:cstheme="minorHAnsi"/>
          <w:sz w:val="24"/>
          <w:szCs w:val="24"/>
        </w:rPr>
        <w:t>) and the US</w:t>
      </w:r>
      <w:r w:rsidR="007655B5" w:rsidRPr="00987C10">
        <w:rPr>
          <w:rFonts w:cstheme="minorHAnsi"/>
          <w:sz w:val="24"/>
          <w:szCs w:val="24"/>
        </w:rPr>
        <w:t xml:space="preserve"> </w:t>
      </w:r>
      <w:r w:rsidRPr="00987C10">
        <w:rPr>
          <w:rFonts w:cstheme="minorHAnsi"/>
          <w:sz w:val="24"/>
          <w:szCs w:val="24"/>
        </w:rPr>
        <w:t xml:space="preserve">Department of Transportation’s exemptions of existing pipelines from the regulatory requirement for pressure testing, which likely would have detected the installation defects. </w:t>
      </w:r>
      <w:r w:rsidRPr="00987C10">
        <w:rPr>
          <w:rFonts w:cstheme="minorHAnsi"/>
          <w:sz w:val="24"/>
          <w:szCs w:val="24"/>
        </w:rPr>
        <w:lastRenderedPageBreak/>
        <w:t xml:space="preserve">Also contributing to the accident was the CPUC’s failure to detect the inadequacies of PG&amp;E’s pipeline integrity management program. Contributing to the severity of the accident were the lack of either automatic shutoff valves or </w:t>
      </w:r>
      <w:proofErr w:type="gramStart"/>
      <w:r w:rsidRPr="00987C10">
        <w:rPr>
          <w:rFonts w:cstheme="minorHAnsi"/>
          <w:sz w:val="24"/>
          <w:szCs w:val="24"/>
        </w:rPr>
        <w:t>remote control</w:t>
      </w:r>
      <w:proofErr w:type="gramEnd"/>
      <w:r w:rsidRPr="00987C10">
        <w:rPr>
          <w:rFonts w:cstheme="minorHAnsi"/>
          <w:sz w:val="24"/>
          <w:szCs w:val="24"/>
        </w:rPr>
        <w:t xml:space="preserve"> valves on the line and PG&amp;E’s </w:t>
      </w:r>
      <w:r w:rsidR="00A141D3" w:rsidRPr="00987C10">
        <w:rPr>
          <w:sz w:val="24"/>
          <w:szCs w:val="24"/>
        </w:rPr>
        <w:t>flawed emergency response procedures and delay in isolating the rupture to stop the flow of gas.</w:t>
      </w:r>
    </w:p>
    <w:p w14:paraId="78F83FF5" w14:textId="226D8A37" w:rsidR="00240637" w:rsidRPr="00987C10" w:rsidRDefault="00240637" w:rsidP="00425659">
      <w:pPr>
        <w:rPr>
          <w:rFonts w:cstheme="minorHAnsi"/>
          <w:sz w:val="24"/>
          <w:szCs w:val="24"/>
        </w:rPr>
      </w:pPr>
    </w:p>
    <w:p w14:paraId="03731336" w14:textId="5F5C1926" w:rsidR="000B4A30" w:rsidRPr="00987C10" w:rsidRDefault="00CF0ECA" w:rsidP="000B4A30">
      <w:pPr>
        <w:rPr>
          <w:rFonts w:cstheme="minorHAnsi"/>
          <w:b/>
          <w:bCs/>
          <w:sz w:val="24"/>
          <w:szCs w:val="24"/>
        </w:rPr>
      </w:pPr>
      <w:r>
        <w:rPr>
          <w:rFonts w:cstheme="minorHAnsi"/>
          <w:b/>
          <w:bCs/>
          <w:sz w:val="24"/>
          <w:szCs w:val="24"/>
        </w:rPr>
        <w:br w:type="page"/>
      </w:r>
    </w:p>
    <w:p w14:paraId="4F99DC2C" w14:textId="77777777" w:rsidR="00810BCD" w:rsidRPr="009D5CBE" w:rsidRDefault="00810BCD" w:rsidP="00810BCD">
      <w:pPr>
        <w:spacing w:after="0" w:line="240" w:lineRule="auto"/>
        <w:rPr>
          <w:rFonts w:cstheme="minorHAnsi"/>
          <w:sz w:val="28"/>
          <w:szCs w:val="28"/>
        </w:rPr>
      </w:pPr>
      <w:r w:rsidRPr="009D5CBE">
        <w:rPr>
          <w:rFonts w:cstheme="minorHAnsi"/>
          <w:sz w:val="28"/>
          <w:szCs w:val="28"/>
        </w:rPr>
        <w:lastRenderedPageBreak/>
        <w:t>Building Explosion and Fire</w:t>
      </w:r>
    </w:p>
    <w:p w14:paraId="5CA06038" w14:textId="77777777" w:rsidR="00810BCD" w:rsidRPr="009D5CBE" w:rsidRDefault="00810BCD" w:rsidP="00810BCD">
      <w:pPr>
        <w:spacing w:after="0" w:line="240" w:lineRule="auto"/>
        <w:rPr>
          <w:rFonts w:cstheme="minorHAnsi"/>
          <w:sz w:val="24"/>
          <w:szCs w:val="24"/>
        </w:rPr>
      </w:pPr>
      <w:r w:rsidRPr="009D5CBE">
        <w:rPr>
          <w:rFonts w:cstheme="minorHAnsi"/>
          <w:sz w:val="24"/>
          <w:szCs w:val="24"/>
        </w:rPr>
        <w:t>Silver Spring, MD</w:t>
      </w:r>
    </w:p>
    <w:p w14:paraId="0F983530" w14:textId="77777777" w:rsidR="00810BCD" w:rsidRPr="009D5CBE" w:rsidRDefault="00810BCD" w:rsidP="00810BCD">
      <w:pPr>
        <w:spacing w:after="0" w:line="240" w:lineRule="auto"/>
        <w:rPr>
          <w:rFonts w:cstheme="minorHAnsi"/>
          <w:sz w:val="24"/>
          <w:szCs w:val="24"/>
        </w:rPr>
      </w:pPr>
      <w:r w:rsidRPr="009D5CBE">
        <w:rPr>
          <w:rFonts w:cstheme="minorHAnsi"/>
          <w:sz w:val="24"/>
          <w:szCs w:val="24"/>
        </w:rPr>
        <w:t>August 10, 2016</w:t>
      </w:r>
    </w:p>
    <w:p w14:paraId="5D3D3B0B" w14:textId="77777777" w:rsidR="00810BCD" w:rsidRPr="00987C10" w:rsidRDefault="00810BCD" w:rsidP="00810BCD">
      <w:pPr>
        <w:spacing w:after="0" w:line="240" w:lineRule="auto"/>
        <w:rPr>
          <w:rFonts w:cstheme="minorHAnsi"/>
          <w:sz w:val="24"/>
          <w:szCs w:val="24"/>
        </w:rPr>
      </w:pPr>
    </w:p>
    <w:p w14:paraId="110EEF37" w14:textId="6ADDA62E" w:rsidR="00810BCD" w:rsidRPr="00987C10" w:rsidRDefault="00810BCD" w:rsidP="00810BCD">
      <w:pPr>
        <w:rPr>
          <w:sz w:val="24"/>
          <w:szCs w:val="24"/>
        </w:rPr>
      </w:pPr>
      <w:r w:rsidRPr="00987C10">
        <w:rPr>
          <w:sz w:val="24"/>
          <w:szCs w:val="24"/>
        </w:rPr>
        <w:t xml:space="preserve">This is an excerpt from the full investigative report. </w:t>
      </w:r>
      <w:r w:rsidRPr="00987C10">
        <w:rPr>
          <w:b/>
          <w:bCs/>
          <w:sz w:val="24"/>
          <w:szCs w:val="24"/>
        </w:rPr>
        <w:t>This information does not include all the safety issues, findings</w:t>
      </w:r>
      <w:r w:rsidR="00154E37" w:rsidRPr="00987C10">
        <w:rPr>
          <w:b/>
          <w:bCs/>
          <w:sz w:val="24"/>
          <w:szCs w:val="24"/>
        </w:rPr>
        <w:t>,</w:t>
      </w:r>
      <w:r w:rsidRPr="00987C10">
        <w:rPr>
          <w:b/>
          <w:bCs/>
          <w:sz w:val="24"/>
          <w:szCs w:val="24"/>
        </w:rPr>
        <w:t xml:space="preserve"> and recommendations issued in the report, but instead focuses on </w:t>
      </w:r>
      <w:r w:rsidR="00154E37" w:rsidRPr="00987C10">
        <w:rPr>
          <w:b/>
          <w:bCs/>
          <w:sz w:val="24"/>
          <w:szCs w:val="24"/>
        </w:rPr>
        <w:t>those that are</w:t>
      </w:r>
      <w:r w:rsidRPr="00987C10">
        <w:rPr>
          <w:b/>
          <w:bCs/>
          <w:sz w:val="24"/>
          <w:szCs w:val="24"/>
        </w:rPr>
        <w:t xml:space="preserve"> directly related to the safety item</w:t>
      </w:r>
      <w:r w:rsidR="0052591E" w:rsidRPr="00987C10">
        <w:rPr>
          <w:bCs/>
          <w:sz w:val="24"/>
          <w:szCs w:val="24"/>
        </w:rPr>
        <w:t>.</w:t>
      </w:r>
      <w:r w:rsidRPr="00987C10">
        <w:rPr>
          <w:sz w:val="24"/>
          <w:szCs w:val="24"/>
        </w:rPr>
        <w:t xml:space="preserve"> Read the complete report </w:t>
      </w:r>
      <w:hyperlink r:id="rId12" w:history="1">
        <w:r w:rsidRPr="00987C10">
          <w:rPr>
            <w:rStyle w:val="Hyperlink"/>
            <w:rFonts w:eastAsia="Calibri" w:cstheme="minorHAnsi"/>
            <w:sz w:val="24"/>
            <w:szCs w:val="24"/>
          </w:rPr>
          <w:t>https://ntsb.gov/investigations/AccidentReports/Reports/PAR1901.pdf</w:t>
        </w:r>
      </w:hyperlink>
    </w:p>
    <w:p w14:paraId="47EC225A" w14:textId="6C05D9C2" w:rsidR="00810BCD" w:rsidRPr="00987C10" w:rsidRDefault="00CA2B7E" w:rsidP="00810BCD">
      <w:pPr>
        <w:rPr>
          <w:rFonts w:cstheme="minorHAnsi"/>
          <w:b/>
          <w:bCs/>
          <w:sz w:val="24"/>
          <w:szCs w:val="24"/>
        </w:rPr>
      </w:pPr>
      <w:r>
        <w:rPr>
          <w:rFonts w:cstheme="minorHAnsi"/>
          <w:b/>
          <w:bCs/>
          <w:sz w:val="24"/>
          <w:szCs w:val="24"/>
        </w:rPr>
        <w:t>What Happened</w:t>
      </w:r>
    </w:p>
    <w:p w14:paraId="48EEA6CB" w14:textId="543D31DD" w:rsidR="00810BCD" w:rsidRPr="00987C10" w:rsidRDefault="00810BCD" w:rsidP="00810BCD">
      <w:pPr>
        <w:rPr>
          <w:rFonts w:cstheme="minorHAnsi"/>
          <w:sz w:val="24"/>
          <w:szCs w:val="24"/>
        </w:rPr>
      </w:pPr>
      <w:r w:rsidRPr="00987C10">
        <w:rPr>
          <w:rFonts w:cstheme="minorHAnsi"/>
          <w:sz w:val="24"/>
          <w:szCs w:val="24"/>
        </w:rPr>
        <w:t>On August 10, 2016, a 14-unit apartment building</w:t>
      </w:r>
      <w:r w:rsidR="0074646E" w:rsidRPr="00987C10">
        <w:rPr>
          <w:rFonts w:cstheme="minorHAnsi"/>
          <w:sz w:val="24"/>
          <w:szCs w:val="24"/>
        </w:rPr>
        <w:t xml:space="preserve"> </w:t>
      </w:r>
      <w:r w:rsidRPr="00987C10">
        <w:rPr>
          <w:rFonts w:cstheme="minorHAnsi"/>
          <w:sz w:val="24"/>
          <w:szCs w:val="24"/>
        </w:rPr>
        <w:t xml:space="preserve">in </w:t>
      </w:r>
      <w:r w:rsidR="004756EE" w:rsidRPr="00987C10">
        <w:rPr>
          <w:rFonts w:cstheme="minorHAnsi"/>
          <w:sz w:val="24"/>
          <w:szCs w:val="24"/>
        </w:rPr>
        <w:t>the Flower Branch apartment complex in</w:t>
      </w:r>
      <w:r w:rsidRPr="00987C10">
        <w:rPr>
          <w:rFonts w:cstheme="minorHAnsi"/>
          <w:sz w:val="24"/>
          <w:szCs w:val="24"/>
        </w:rPr>
        <w:t xml:space="preserve"> Silver Spring</w:t>
      </w:r>
      <w:r w:rsidR="0074646E" w:rsidRPr="00987C10">
        <w:rPr>
          <w:rFonts w:cstheme="minorHAnsi"/>
          <w:sz w:val="24"/>
          <w:szCs w:val="24"/>
        </w:rPr>
        <w:t xml:space="preserve">, </w:t>
      </w:r>
      <w:r w:rsidRPr="00987C10">
        <w:rPr>
          <w:rFonts w:cstheme="minorHAnsi"/>
          <w:sz w:val="24"/>
          <w:szCs w:val="24"/>
        </w:rPr>
        <w:t>Maryland, partially collapsed due to a natural gas-fueled explosion and fire. The explosion and fire also heavily damaged an adjacent apartment building</w:t>
      </w:r>
      <w:r w:rsidR="0074646E" w:rsidRPr="00987C10">
        <w:rPr>
          <w:rFonts w:cstheme="minorHAnsi"/>
          <w:sz w:val="24"/>
          <w:szCs w:val="24"/>
        </w:rPr>
        <w:t xml:space="preserve">. </w:t>
      </w:r>
      <w:r w:rsidRPr="00987C10">
        <w:rPr>
          <w:rFonts w:cstheme="minorHAnsi"/>
          <w:sz w:val="24"/>
          <w:szCs w:val="24"/>
        </w:rPr>
        <w:t xml:space="preserve">As a result of this accident, 7 residents died, 65 residents were transported to the hospital, and 3 firefighters were treated and released from the hospital. </w:t>
      </w:r>
    </w:p>
    <w:p w14:paraId="06819A42" w14:textId="07C470F8" w:rsidR="00810BCD" w:rsidRPr="00987C10" w:rsidRDefault="00810BCD" w:rsidP="00810BCD">
      <w:pPr>
        <w:rPr>
          <w:sz w:val="24"/>
          <w:szCs w:val="24"/>
        </w:rPr>
      </w:pPr>
      <w:r w:rsidRPr="00987C10">
        <w:rPr>
          <w:sz w:val="24"/>
          <w:szCs w:val="24"/>
        </w:rPr>
        <w:t xml:space="preserve">Prior to the accident, several residents of </w:t>
      </w:r>
      <w:r w:rsidR="003626B2" w:rsidRPr="00987C10">
        <w:rPr>
          <w:sz w:val="24"/>
          <w:szCs w:val="24"/>
        </w:rPr>
        <w:t xml:space="preserve">both apartment </w:t>
      </w:r>
      <w:r w:rsidRPr="00987C10">
        <w:rPr>
          <w:sz w:val="24"/>
          <w:szCs w:val="24"/>
        </w:rPr>
        <w:t>buildings reported to investigators that they smelled gas in the weeks and months leading up to the explosion. Two mercury service regulators and their associated piping were installed in all 26 buildings of the Flower Branch apartment complex between 1955</w:t>
      </w:r>
      <w:r w:rsidR="00D71401" w:rsidRPr="00987C10">
        <w:rPr>
          <w:sz w:val="24"/>
          <w:szCs w:val="24"/>
        </w:rPr>
        <w:t xml:space="preserve"> and </w:t>
      </w:r>
      <w:r w:rsidRPr="00987C10">
        <w:rPr>
          <w:sz w:val="24"/>
          <w:szCs w:val="24"/>
        </w:rPr>
        <w:t xml:space="preserve">1956. </w:t>
      </w:r>
      <w:r w:rsidR="00026023" w:rsidRPr="00987C10">
        <w:rPr>
          <w:sz w:val="24"/>
          <w:szCs w:val="24"/>
        </w:rPr>
        <w:t xml:space="preserve">Access to the meter room, </w:t>
      </w:r>
      <w:r w:rsidRPr="00987C10">
        <w:rPr>
          <w:sz w:val="24"/>
          <w:szCs w:val="24"/>
        </w:rPr>
        <w:t xml:space="preserve">located in the </w:t>
      </w:r>
      <w:r w:rsidR="0079380A" w:rsidRPr="00987C10">
        <w:rPr>
          <w:sz w:val="24"/>
          <w:szCs w:val="24"/>
        </w:rPr>
        <w:t>building</w:t>
      </w:r>
      <w:r w:rsidR="00026023" w:rsidRPr="00987C10">
        <w:rPr>
          <w:sz w:val="24"/>
          <w:szCs w:val="24"/>
        </w:rPr>
        <w:t>’</w:t>
      </w:r>
      <w:r w:rsidR="0079380A" w:rsidRPr="00987C10">
        <w:rPr>
          <w:sz w:val="24"/>
          <w:szCs w:val="24"/>
        </w:rPr>
        <w:t>s</w:t>
      </w:r>
      <w:r w:rsidRPr="00987C10">
        <w:rPr>
          <w:sz w:val="24"/>
          <w:szCs w:val="24"/>
        </w:rPr>
        <w:t xml:space="preserve"> basement</w:t>
      </w:r>
      <w:r w:rsidR="00026023" w:rsidRPr="00987C10">
        <w:rPr>
          <w:sz w:val="24"/>
          <w:szCs w:val="24"/>
        </w:rPr>
        <w:t>,</w:t>
      </w:r>
      <w:r w:rsidRPr="00987C10">
        <w:rPr>
          <w:sz w:val="24"/>
          <w:szCs w:val="24"/>
        </w:rPr>
        <w:t xml:space="preserve"> </w:t>
      </w:r>
      <w:r w:rsidR="00026023" w:rsidRPr="00987C10">
        <w:rPr>
          <w:sz w:val="24"/>
          <w:szCs w:val="24"/>
        </w:rPr>
        <w:t>was</w:t>
      </w:r>
      <w:r w:rsidRPr="00987C10">
        <w:rPr>
          <w:sz w:val="24"/>
          <w:szCs w:val="24"/>
        </w:rPr>
        <w:t xml:space="preserve"> restricted</w:t>
      </w:r>
      <w:r w:rsidR="00026023" w:rsidRPr="00987C10">
        <w:rPr>
          <w:sz w:val="24"/>
          <w:szCs w:val="24"/>
        </w:rPr>
        <w:t>,</w:t>
      </w:r>
      <w:r w:rsidRPr="00987C10">
        <w:rPr>
          <w:sz w:val="24"/>
          <w:szCs w:val="24"/>
        </w:rPr>
        <w:t xml:space="preserve"> and </w:t>
      </w:r>
      <w:r w:rsidR="00026023" w:rsidRPr="00987C10">
        <w:rPr>
          <w:sz w:val="24"/>
          <w:szCs w:val="24"/>
        </w:rPr>
        <w:t xml:space="preserve">the room had </w:t>
      </w:r>
      <w:r w:rsidRPr="00987C10">
        <w:rPr>
          <w:sz w:val="24"/>
          <w:szCs w:val="24"/>
        </w:rPr>
        <w:t>only two windows: one enclosed with glass and the other covered with a piece of wood with two small holes for ventilation.</w:t>
      </w:r>
    </w:p>
    <w:p w14:paraId="7CEBFBEA" w14:textId="7A836E19" w:rsidR="00810BCD" w:rsidRPr="00503CC2" w:rsidRDefault="00CA2B7E" w:rsidP="00810BCD">
      <w:pPr>
        <w:rPr>
          <w:rFonts w:cstheme="minorHAnsi"/>
          <w:sz w:val="24"/>
          <w:szCs w:val="24"/>
        </w:rPr>
      </w:pPr>
      <w:r>
        <w:rPr>
          <w:rFonts w:cstheme="minorHAnsi"/>
          <w:b/>
          <w:bCs/>
          <w:sz w:val="24"/>
          <w:szCs w:val="24"/>
        </w:rPr>
        <w:t>Why It Happened</w:t>
      </w:r>
    </w:p>
    <w:p w14:paraId="5221E123" w14:textId="2171D91D" w:rsidR="00810BCD" w:rsidRPr="00CA2B7E" w:rsidRDefault="00CA2B7E" w:rsidP="00F74F4D">
      <w:pPr>
        <w:spacing w:after="0" w:line="240" w:lineRule="auto"/>
        <w:rPr>
          <w:rFonts w:cstheme="minorHAnsi"/>
          <w:b/>
          <w:bCs/>
          <w:color w:val="2F5496" w:themeColor="accent1" w:themeShade="BF"/>
          <w:sz w:val="24"/>
          <w:szCs w:val="24"/>
        </w:rPr>
      </w:pPr>
      <w:r w:rsidRPr="00CA2B7E">
        <w:rPr>
          <w:rFonts w:cstheme="minorHAnsi"/>
          <w:b/>
          <w:bCs/>
          <w:color w:val="2F5496" w:themeColor="accent1" w:themeShade="BF"/>
          <w:sz w:val="24"/>
          <w:szCs w:val="24"/>
        </w:rPr>
        <w:t>Probable Cause</w:t>
      </w:r>
      <w:r w:rsidR="00810BCD" w:rsidRPr="00CA2B7E">
        <w:rPr>
          <w:rFonts w:cstheme="minorHAnsi"/>
          <w:color w:val="2F5496" w:themeColor="accent1" w:themeShade="BF"/>
          <w:sz w:val="24"/>
          <w:szCs w:val="24"/>
        </w:rPr>
        <w:t>:</w:t>
      </w:r>
    </w:p>
    <w:p w14:paraId="78C6CE22" w14:textId="1A06B4A1" w:rsidR="00810BCD" w:rsidRDefault="00810BCD" w:rsidP="00810BCD">
      <w:pPr>
        <w:rPr>
          <w:rFonts w:cstheme="minorHAnsi"/>
          <w:sz w:val="24"/>
          <w:szCs w:val="24"/>
        </w:rPr>
      </w:pPr>
      <w:r w:rsidRPr="00987C10">
        <w:rPr>
          <w:rFonts w:cstheme="minorHAnsi"/>
          <w:sz w:val="24"/>
          <w:szCs w:val="24"/>
        </w:rPr>
        <w:t>The probable cause of the explosion was the failure of an indoor mercury service regulator with an unconnected vent line that allowed natural gas into the meter room</w:t>
      </w:r>
      <w:r w:rsidR="00616F0C" w:rsidRPr="00987C10">
        <w:rPr>
          <w:rFonts w:cstheme="minorHAnsi"/>
          <w:sz w:val="24"/>
          <w:szCs w:val="24"/>
        </w:rPr>
        <w:t>,</w:t>
      </w:r>
      <w:r w:rsidRPr="00987C10">
        <w:rPr>
          <w:rFonts w:cstheme="minorHAnsi"/>
          <w:sz w:val="24"/>
          <w:szCs w:val="24"/>
        </w:rPr>
        <w:t xml:space="preserve"> where it accumulated and ignited from an unknown ignition source. Contributing to the accident was the location of the mercury service regulators</w:t>
      </w:r>
      <w:r w:rsidR="00642A45" w:rsidRPr="00987C10">
        <w:rPr>
          <w:rFonts w:cstheme="minorHAnsi"/>
          <w:sz w:val="24"/>
          <w:szCs w:val="24"/>
        </w:rPr>
        <w:t xml:space="preserve">, which </w:t>
      </w:r>
      <w:r w:rsidR="00CE6C78" w:rsidRPr="00987C10">
        <w:rPr>
          <w:rFonts w:cstheme="minorHAnsi"/>
          <w:sz w:val="24"/>
          <w:szCs w:val="24"/>
        </w:rPr>
        <w:t>delayed or prevented leaks from being detected</w:t>
      </w:r>
      <w:r w:rsidRPr="00987C10">
        <w:rPr>
          <w:rFonts w:cstheme="minorHAnsi"/>
          <w:sz w:val="24"/>
          <w:szCs w:val="24"/>
        </w:rPr>
        <w:t xml:space="preserve"> by odor.</w:t>
      </w:r>
    </w:p>
    <w:p w14:paraId="14CE700A" w14:textId="27A2E535" w:rsidR="00784DDF" w:rsidRPr="00503CC2" w:rsidRDefault="00503CC2" w:rsidP="00784DDF">
      <w:pPr>
        <w:rPr>
          <w:rFonts w:cstheme="minorHAnsi"/>
          <w:sz w:val="24"/>
          <w:szCs w:val="24"/>
        </w:rPr>
      </w:pPr>
      <w:r>
        <w:rPr>
          <w:rFonts w:cstheme="minorHAnsi"/>
          <w:sz w:val="24"/>
          <w:szCs w:val="24"/>
        </w:rPr>
        <w:br w:type="page"/>
      </w:r>
    </w:p>
    <w:p w14:paraId="4EACEDBF" w14:textId="39285881" w:rsidR="00784DDF" w:rsidRPr="00CA2B7E" w:rsidRDefault="00784DDF" w:rsidP="00784DDF">
      <w:pPr>
        <w:autoSpaceDE w:val="0"/>
        <w:autoSpaceDN w:val="0"/>
        <w:adjustRightInd w:val="0"/>
        <w:spacing w:after="0" w:line="240" w:lineRule="auto"/>
        <w:rPr>
          <w:rFonts w:eastAsia="Calibri" w:cstheme="minorHAnsi"/>
          <w:sz w:val="28"/>
          <w:szCs w:val="28"/>
          <w:shd w:val="clear" w:color="auto" w:fill="FFFFFF"/>
        </w:rPr>
      </w:pPr>
      <w:r w:rsidRPr="00CA2B7E">
        <w:rPr>
          <w:rFonts w:eastAsia="Calibri" w:cstheme="minorHAnsi"/>
          <w:sz w:val="28"/>
          <w:szCs w:val="28"/>
          <w:shd w:val="clear" w:color="auto" w:fill="FFFFFF"/>
        </w:rPr>
        <w:lastRenderedPageBreak/>
        <w:t>Atmos Energy Corporation Natural Gas-Fueled Explosion</w:t>
      </w:r>
    </w:p>
    <w:p w14:paraId="5B29A87A" w14:textId="28BE17C6" w:rsidR="00784DDF" w:rsidRPr="00CA2B7E" w:rsidRDefault="00784DDF" w:rsidP="00784DDF">
      <w:pPr>
        <w:autoSpaceDE w:val="0"/>
        <w:autoSpaceDN w:val="0"/>
        <w:adjustRightInd w:val="0"/>
        <w:spacing w:after="0" w:line="240" w:lineRule="auto"/>
        <w:rPr>
          <w:rFonts w:eastAsia="Calibri" w:cstheme="minorHAnsi"/>
          <w:sz w:val="24"/>
          <w:szCs w:val="24"/>
          <w:shd w:val="clear" w:color="auto" w:fill="FFFFFF"/>
        </w:rPr>
      </w:pPr>
      <w:r w:rsidRPr="00CA2B7E">
        <w:rPr>
          <w:rFonts w:eastAsia="Calibri" w:cstheme="minorHAnsi"/>
          <w:sz w:val="24"/>
          <w:szCs w:val="24"/>
          <w:shd w:val="clear" w:color="auto" w:fill="FFFFFF"/>
        </w:rPr>
        <w:t>Dallas, Texas</w:t>
      </w:r>
    </w:p>
    <w:p w14:paraId="68314655" w14:textId="624E898B" w:rsidR="00784DDF" w:rsidRPr="00CA2B7E" w:rsidRDefault="00784DDF" w:rsidP="00784DDF">
      <w:pPr>
        <w:autoSpaceDE w:val="0"/>
        <w:autoSpaceDN w:val="0"/>
        <w:adjustRightInd w:val="0"/>
        <w:spacing w:after="0" w:line="240" w:lineRule="auto"/>
        <w:rPr>
          <w:rFonts w:eastAsia="Calibri" w:cstheme="minorHAnsi"/>
          <w:sz w:val="24"/>
          <w:szCs w:val="24"/>
          <w:shd w:val="clear" w:color="auto" w:fill="FFFFFF"/>
        </w:rPr>
      </w:pPr>
      <w:r w:rsidRPr="00CA2B7E">
        <w:rPr>
          <w:rFonts w:eastAsia="Calibri" w:cstheme="minorHAnsi"/>
          <w:sz w:val="24"/>
          <w:szCs w:val="24"/>
          <w:shd w:val="clear" w:color="auto" w:fill="FFFFFF"/>
        </w:rPr>
        <w:t>February 23, 2018</w:t>
      </w:r>
    </w:p>
    <w:p w14:paraId="456407F1" w14:textId="77777777" w:rsidR="00784DDF" w:rsidRPr="00987C10" w:rsidRDefault="00784DDF" w:rsidP="00784DDF">
      <w:pPr>
        <w:autoSpaceDE w:val="0"/>
        <w:autoSpaceDN w:val="0"/>
        <w:adjustRightInd w:val="0"/>
        <w:spacing w:after="0" w:line="240" w:lineRule="auto"/>
        <w:rPr>
          <w:rFonts w:eastAsia="Calibri" w:cstheme="minorHAnsi"/>
          <w:sz w:val="24"/>
          <w:szCs w:val="24"/>
          <w:shd w:val="clear" w:color="auto" w:fill="FFFFFF"/>
        </w:rPr>
      </w:pPr>
    </w:p>
    <w:p w14:paraId="299172F5" w14:textId="117C58F2" w:rsidR="00784DDF" w:rsidRPr="00987C10" w:rsidRDefault="00784DDF" w:rsidP="00784DDF">
      <w:pPr>
        <w:autoSpaceDE w:val="0"/>
        <w:autoSpaceDN w:val="0"/>
        <w:adjustRightInd w:val="0"/>
        <w:spacing w:after="0" w:line="240" w:lineRule="auto"/>
        <w:rPr>
          <w:rFonts w:eastAsia="Calibri" w:cstheme="minorHAnsi"/>
          <w:sz w:val="24"/>
          <w:szCs w:val="24"/>
          <w:shd w:val="clear" w:color="auto" w:fill="FFFFFF"/>
        </w:rPr>
      </w:pPr>
      <w:r w:rsidRPr="00987C10">
        <w:rPr>
          <w:rFonts w:cstheme="minorHAnsi"/>
          <w:sz w:val="24"/>
          <w:szCs w:val="24"/>
        </w:rPr>
        <w:t xml:space="preserve">This is an excerpt from the full investigative report. </w:t>
      </w:r>
      <w:r w:rsidRPr="00987C10">
        <w:rPr>
          <w:rFonts w:cstheme="minorHAnsi"/>
          <w:b/>
          <w:bCs/>
          <w:sz w:val="24"/>
          <w:szCs w:val="24"/>
        </w:rPr>
        <w:t>This information does not include all the safety issues, findings</w:t>
      </w:r>
      <w:r w:rsidR="00FD77D4" w:rsidRPr="00987C10">
        <w:rPr>
          <w:rFonts w:cstheme="minorHAnsi"/>
          <w:b/>
          <w:bCs/>
          <w:sz w:val="24"/>
          <w:szCs w:val="24"/>
        </w:rPr>
        <w:t>,</w:t>
      </w:r>
      <w:r w:rsidRPr="00987C10">
        <w:rPr>
          <w:rFonts w:cstheme="minorHAnsi"/>
          <w:b/>
          <w:bCs/>
          <w:sz w:val="24"/>
          <w:szCs w:val="24"/>
        </w:rPr>
        <w:t xml:space="preserve"> and recommendations issued in the report, but instead focuses on </w:t>
      </w:r>
      <w:r w:rsidR="00FD77D4" w:rsidRPr="00987C10">
        <w:rPr>
          <w:rFonts w:cstheme="minorHAnsi"/>
          <w:b/>
          <w:bCs/>
          <w:sz w:val="24"/>
          <w:szCs w:val="24"/>
        </w:rPr>
        <w:t>those that are</w:t>
      </w:r>
      <w:r w:rsidRPr="00987C10">
        <w:rPr>
          <w:rFonts w:cstheme="minorHAnsi"/>
          <w:b/>
          <w:bCs/>
          <w:sz w:val="24"/>
          <w:szCs w:val="24"/>
        </w:rPr>
        <w:t xml:space="preserve"> directly related to the safety item</w:t>
      </w:r>
      <w:r w:rsidRPr="00987C10">
        <w:rPr>
          <w:rFonts w:cstheme="minorHAnsi"/>
          <w:sz w:val="24"/>
          <w:szCs w:val="24"/>
        </w:rPr>
        <w:t xml:space="preserve">. Read the complete report </w:t>
      </w:r>
      <w:hyperlink r:id="rId13" w:history="1">
        <w:r w:rsidR="00712779" w:rsidRPr="00987C10">
          <w:rPr>
            <w:rStyle w:val="Hyperlink"/>
            <w:sz w:val="24"/>
            <w:szCs w:val="24"/>
          </w:rPr>
          <w:t>https://www.ntsb.gov/investigations/AccidentReports/Reports/PAR2101.pdf</w:t>
        </w:r>
      </w:hyperlink>
      <w:r w:rsidR="00712779" w:rsidRPr="00987C10">
        <w:rPr>
          <w:sz w:val="24"/>
          <w:szCs w:val="24"/>
        </w:rPr>
        <w:t xml:space="preserve"> </w:t>
      </w:r>
      <w:r w:rsidR="00503CC2">
        <w:rPr>
          <w:sz w:val="24"/>
          <w:szCs w:val="24"/>
        </w:rPr>
        <w:br/>
      </w:r>
    </w:p>
    <w:p w14:paraId="664A8BE9" w14:textId="38F70BB4" w:rsidR="00784DDF" w:rsidRPr="00987C10" w:rsidRDefault="00CA2B7E" w:rsidP="00784DDF">
      <w:pPr>
        <w:rPr>
          <w:rFonts w:cstheme="minorHAnsi"/>
          <w:b/>
          <w:bCs/>
          <w:sz w:val="24"/>
          <w:szCs w:val="24"/>
        </w:rPr>
      </w:pPr>
      <w:r>
        <w:rPr>
          <w:rFonts w:cstheme="minorHAnsi"/>
          <w:b/>
          <w:bCs/>
          <w:sz w:val="24"/>
          <w:szCs w:val="24"/>
        </w:rPr>
        <w:t>What Happened</w:t>
      </w:r>
    </w:p>
    <w:p w14:paraId="54E65DC8" w14:textId="7888BAD9" w:rsidR="00784DDF" w:rsidRDefault="00C90084" w:rsidP="00784DDF">
      <w:pPr>
        <w:rPr>
          <w:rFonts w:cstheme="minorHAnsi"/>
          <w:sz w:val="24"/>
          <w:szCs w:val="24"/>
        </w:rPr>
      </w:pPr>
      <w:r w:rsidRPr="00987C10">
        <w:rPr>
          <w:sz w:val="24"/>
          <w:szCs w:val="24"/>
        </w:rPr>
        <w:t xml:space="preserve">On February 23, 2018, at 6:38 a.m. local time, a </w:t>
      </w:r>
      <w:r w:rsidR="00055A46" w:rsidRPr="00987C10">
        <w:rPr>
          <w:sz w:val="24"/>
          <w:szCs w:val="24"/>
        </w:rPr>
        <w:t>natural-</w:t>
      </w:r>
      <w:r w:rsidRPr="00987C10">
        <w:rPr>
          <w:sz w:val="24"/>
          <w:szCs w:val="24"/>
        </w:rPr>
        <w:t xml:space="preserve">gas–fueled explosion occurred at </w:t>
      </w:r>
      <w:r w:rsidR="00C10B90" w:rsidRPr="00987C10">
        <w:rPr>
          <w:sz w:val="24"/>
          <w:szCs w:val="24"/>
        </w:rPr>
        <w:t xml:space="preserve">a home in </w:t>
      </w:r>
      <w:r w:rsidRPr="00987C10">
        <w:rPr>
          <w:sz w:val="24"/>
          <w:szCs w:val="24"/>
        </w:rPr>
        <w:t>Dallas, Texas. The residence sustained major structural damage, but when first responders arrived on scene at 6:44 a.m., they observed no smoke or fire. Four family members were injured, and one was killed in the explosion. Following the explosion, National Transportation Safety Board investigators located a through-wall crack in the 71-year-old natural gas main that served the residence. In the 2 days before this explosion, two gas-related incidents occurred on the same block at houses that were served by the same natural gas main, each resulting in significant structural damage and burn injuries to one occupant</w:t>
      </w:r>
      <w:r w:rsidR="00784DDF" w:rsidRPr="00987C10">
        <w:rPr>
          <w:rFonts w:cstheme="minorHAnsi"/>
          <w:sz w:val="24"/>
          <w:szCs w:val="24"/>
        </w:rPr>
        <w:t>.</w:t>
      </w:r>
    </w:p>
    <w:p w14:paraId="24A8B054" w14:textId="2F5758C2" w:rsidR="00784DDF" w:rsidRPr="00987C10" w:rsidRDefault="00CA2B7E" w:rsidP="00784DDF">
      <w:pPr>
        <w:rPr>
          <w:rFonts w:cstheme="minorHAnsi"/>
          <w:b/>
          <w:bCs/>
          <w:sz w:val="24"/>
          <w:szCs w:val="24"/>
        </w:rPr>
      </w:pPr>
      <w:r>
        <w:rPr>
          <w:rFonts w:cstheme="minorHAnsi"/>
          <w:b/>
          <w:bCs/>
          <w:sz w:val="24"/>
          <w:szCs w:val="24"/>
        </w:rPr>
        <w:t>Why It Happened</w:t>
      </w:r>
    </w:p>
    <w:p w14:paraId="1ABC6F3C" w14:textId="1C3B670E" w:rsidR="00CA2B7E" w:rsidRPr="007E1A61" w:rsidRDefault="00CA2B7E" w:rsidP="00CA2B7E">
      <w:pPr>
        <w:spacing w:after="0" w:line="240" w:lineRule="auto"/>
        <w:rPr>
          <w:rFonts w:eastAsiaTheme="minorEastAsia"/>
          <w:b/>
          <w:bCs/>
          <w:caps/>
          <w:color w:val="005596"/>
          <w:sz w:val="24"/>
          <w:szCs w:val="24"/>
        </w:rPr>
      </w:pPr>
      <w:r w:rsidRPr="007E1A61">
        <w:rPr>
          <w:rFonts w:eastAsiaTheme="minorEastAsia"/>
          <w:b/>
          <w:bCs/>
          <w:color w:val="005596"/>
          <w:sz w:val="24"/>
          <w:szCs w:val="24"/>
        </w:rPr>
        <w:t>Probable Cause</w:t>
      </w:r>
      <w:r>
        <w:rPr>
          <w:rFonts w:eastAsiaTheme="minorEastAsia"/>
          <w:b/>
          <w:bCs/>
          <w:color w:val="005596"/>
          <w:sz w:val="24"/>
          <w:szCs w:val="24"/>
        </w:rPr>
        <w:t>:</w:t>
      </w:r>
    </w:p>
    <w:p w14:paraId="5526D203" w14:textId="0A451FD6" w:rsidR="000162C7" w:rsidRPr="00987C10" w:rsidRDefault="000162C7" w:rsidP="00784DDF">
      <w:pPr>
        <w:rPr>
          <w:rFonts w:cstheme="minorHAnsi"/>
          <w:b/>
          <w:bCs/>
          <w:sz w:val="24"/>
          <w:szCs w:val="24"/>
        </w:rPr>
      </w:pPr>
      <w:r w:rsidRPr="00987C10">
        <w:rPr>
          <w:sz w:val="24"/>
          <w:szCs w:val="24"/>
        </w:rPr>
        <w:t xml:space="preserve">The National Transportation Safety Board </w:t>
      </w:r>
      <w:r w:rsidR="00D978FA" w:rsidRPr="00987C10">
        <w:rPr>
          <w:sz w:val="24"/>
          <w:szCs w:val="24"/>
        </w:rPr>
        <w:t xml:space="preserve">determined </w:t>
      </w:r>
      <w:r w:rsidRPr="00987C10">
        <w:rPr>
          <w:sz w:val="24"/>
          <w:szCs w:val="24"/>
        </w:rPr>
        <w:t xml:space="preserve">that the probable cause of </w:t>
      </w:r>
      <w:r w:rsidR="00D978FA" w:rsidRPr="00987C10">
        <w:rPr>
          <w:sz w:val="24"/>
          <w:szCs w:val="24"/>
        </w:rPr>
        <w:t xml:space="preserve">this </w:t>
      </w:r>
      <w:r w:rsidRPr="00987C10">
        <w:rPr>
          <w:sz w:val="24"/>
          <w:szCs w:val="24"/>
        </w:rPr>
        <w:t>explosion was the ignition of an accumulation of natural gas that leaked from the gas main</w:t>
      </w:r>
      <w:r w:rsidR="00FB48AD" w:rsidRPr="00987C10">
        <w:rPr>
          <w:sz w:val="24"/>
          <w:szCs w:val="24"/>
        </w:rPr>
        <w:t>, which</w:t>
      </w:r>
      <w:r w:rsidRPr="00987C10">
        <w:rPr>
          <w:sz w:val="24"/>
          <w:szCs w:val="24"/>
        </w:rPr>
        <w:t xml:space="preserve"> was damaged during a sewer replacement project 23 years earlier</w:t>
      </w:r>
      <w:r w:rsidR="00A74738" w:rsidRPr="00987C10">
        <w:rPr>
          <w:sz w:val="24"/>
          <w:szCs w:val="24"/>
        </w:rPr>
        <w:t xml:space="preserve">. The damaged gas main was </w:t>
      </w:r>
      <w:r w:rsidRPr="00987C10">
        <w:rPr>
          <w:sz w:val="24"/>
          <w:szCs w:val="24"/>
        </w:rPr>
        <w:t>undetected by Atmos Energy Corporation’s investigation of two related natural gas incidents on the 2 days prior to the explosion. Contributing to the explosion was Atmos Energy Corporation’s insufficient wet weather leak investigation procedures. Contributing to the severity of the explosion was Atmos Energy Corporation’s inaction to isolate the affected main and evacuate the houses. Contributing to the degradation of the pipeline system was Atmos Energy Corporation’s inadequate integrity management program.</w:t>
      </w:r>
    </w:p>
    <w:p w14:paraId="4D8F68A2" w14:textId="11ADE6AC" w:rsidR="00841DE4" w:rsidRPr="00987C10" w:rsidRDefault="00841DE4" w:rsidP="00425659">
      <w:pPr>
        <w:rPr>
          <w:rFonts w:cstheme="minorHAnsi"/>
          <w:sz w:val="24"/>
          <w:szCs w:val="24"/>
        </w:rPr>
      </w:pPr>
    </w:p>
    <w:p w14:paraId="57770377" w14:textId="0BCCC1CD" w:rsidR="00841DE4" w:rsidRPr="00987C10" w:rsidRDefault="00841DE4" w:rsidP="00425659">
      <w:pPr>
        <w:rPr>
          <w:rFonts w:cstheme="minorHAnsi"/>
          <w:sz w:val="24"/>
          <w:szCs w:val="24"/>
        </w:rPr>
      </w:pPr>
    </w:p>
    <w:p w14:paraId="49339995" w14:textId="5B97C73D" w:rsidR="00841DE4" w:rsidRPr="00987C10" w:rsidRDefault="00841DE4" w:rsidP="00425659">
      <w:pPr>
        <w:rPr>
          <w:rFonts w:cstheme="minorHAnsi"/>
          <w:sz w:val="24"/>
          <w:szCs w:val="24"/>
        </w:rPr>
      </w:pPr>
    </w:p>
    <w:p w14:paraId="375E7A44" w14:textId="77777777" w:rsidR="00841DE4" w:rsidRPr="00987C10" w:rsidRDefault="00841DE4" w:rsidP="00425659">
      <w:pPr>
        <w:rPr>
          <w:rFonts w:cstheme="minorHAnsi"/>
          <w:b/>
          <w:bCs/>
          <w:sz w:val="24"/>
          <w:szCs w:val="24"/>
        </w:rPr>
      </w:pPr>
    </w:p>
    <w:sectPr w:rsidR="00841DE4" w:rsidRPr="00987C10">
      <w:headerReference w:type="default" r:id="rId14"/>
      <w:footerReference w:type="even"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9A0A1" w14:textId="77777777" w:rsidR="001F7487" w:rsidRDefault="001F7487" w:rsidP="00240637">
      <w:pPr>
        <w:spacing w:after="0" w:line="240" w:lineRule="auto"/>
      </w:pPr>
      <w:r>
        <w:separator/>
      </w:r>
    </w:p>
  </w:endnote>
  <w:endnote w:type="continuationSeparator" w:id="0">
    <w:p w14:paraId="340D5AC3" w14:textId="77777777" w:rsidR="001F7487" w:rsidRDefault="001F7487" w:rsidP="00240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5864186"/>
      <w:docPartObj>
        <w:docPartGallery w:val="Page Numbers (Bottom of Page)"/>
        <w:docPartUnique/>
      </w:docPartObj>
    </w:sdtPr>
    <w:sdtEndPr>
      <w:rPr>
        <w:rStyle w:val="PageNumber"/>
      </w:rPr>
    </w:sdtEndPr>
    <w:sdtContent>
      <w:p w14:paraId="77674201" w14:textId="1C03F04E" w:rsidR="00240637" w:rsidRDefault="00240637"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53B95A9" w14:textId="77777777" w:rsidR="00240637" w:rsidRDefault="002406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8087147"/>
      <w:docPartObj>
        <w:docPartGallery w:val="Page Numbers (Bottom of Page)"/>
        <w:docPartUnique/>
      </w:docPartObj>
    </w:sdtPr>
    <w:sdtEndPr>
      <w:rPr>
        <w:rStyle w:val="PageNumber"/>
      </w:rPr>
    </w:sdtEndPr>
    <w:sdtContent>
      <w:p w14:paraId="2AB84F36" w14:textId="654B6757" w:rsidR="00240637" w:rsidRDefault="00240637"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ED11D05" w14:textId="3A11F8BB" w:rsidR="00240637" w:rsidRDefault="00240637">
    <w:pPr>
      <w:pStyle w:val="Footer"/>
    </w:pPr>
    <w:r>
      <w:t>ntsb.gov/</w:t>
    </w:r>
    <w:proofErr w:type="spellStart"/>
    <w:r>
      <w:t>mwl</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BBBB8" w14:textId="77777777" w:rsidR="001F7487" w:rsidRDefault="001F7487" w:rsidP="00240637">
      <w:pPr>
        <w:spacing w:after="0" w:line="240" w:lineRule="auto"/>
      </w:pPr>
      <w:r>
        <w:separator/>
      </w:r>
    </w:p>
  </w:footnote>
  <w:footnote w:type="continuationSeparator" w:id="0">
    <w:p w14:paraId="6EAC300A" w14:textId="77777777" w:rsidR="001F7487" w:rsidRDefault="001F7487" w:rsidP="002406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BE747" w14:textId="38D03F69" w:rsidR="006F23A0" w:rsidRPr="007E1A61" w:rsidRDefault="006F23A0" w:rsidP="006F23A0">
    <w:pPr>
      <w:tabs>
        <w:tab w:val="right" w:pos="9360"/>
      </w:tabs>
      <w:spacing w:after="0" w:line="240" w:lineRule="auto"/>
      <w:ind w:left="720" w:hanging="720"/>
      <w:rPr>
        <w:rFonts w:cstheme="minorHAnsi"/>
        <w:b/>
        <w:bCs/>
      </w:rPr>
    </w:pPr>
    <w:r w:rsidRPr="002A0E15">
      <w:t xml:space="preserve">2021–2022 </w:t>
    </w:r>
    <w:r>
      <w:t>NTSB MWL</w:t>
    </w:r>
    <w:r w:rsidRPr="002A0E15">
      <w:t xml:space="preserve"> Advocacy Toolkit</w:t>
    </w:r>
    <w:r w:rsidRPr="002A0E15">
      <w:tab/>
    </w:r>
    <w:r w:rsidRPr="002A0E15">
      <w:rPr>
        <w:b/>
        <w:bCs/>
      </w:rPr>
      <w:t xml:space="preserve">Appendix B – </w:t>
    </w:r>
    <w:r w:rsidR="00CA2B7E">
      <w:rPr>
        <w:b/>
        <w:bCs/>
      </w:rPr>
      <w:t>Investigation</w:t>
    </w:r>
    <w:r w:rsidRPr="002A0E15">
      <w:rPr>
        <w:b/>
        <w:bCs/>
      </w:rPr>
      <w:t xml:space="preserve"> Summaries</w:t>
    </w:r>
  </w:p>
  <w:p w14:paraId="03230EE0" w14:textId="77777777" w:rsidR="006F23A0" w:rsidRDefault="006F2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458CE"/>
    <w:multiLevelType w:val="hybridMultilevel"/>
    <w:tmpl w:val="42982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E1C08"/>
    <w:multiLevelType w:val="hybridMultilevel"/>
    <w:tmpl w:val="08C48756"/>
    <w:lvl w:ilvl="0" w:tplc="9732008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F45DA8"/>
    <w:multiLevelType w:val="hybridMultilevel"/>
    <w:tmpl w:val="6F1C1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470A61"/>
    <w:multiLevelType w:val="hybridMultilevel"/>
    <w:tmpl w:val="D680A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77A81"/>
    <w:multiLevelType w:val="hybridMultilevel"/>
    <w:tmpl w:val="0FE28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06453"/>
    <w:multiLevelType w:val="hybridMultilevel"/>
    <w:tmpl w:val="29F85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C5102"/>
    <w:multiLevelType w:val="hybridMultilevel"/>
    <w:tmpl w:val="E77E8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9C6BB7"/>
    <w:multiLevelType w:val="hybridMultilevel"/>
    <w:tmpl w:val="42A66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D67BE2"/>
    <w:multiLevelType w:val="hybridMultilevel"/>
    <w:tmpl w:val="E4C63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943413"/>
    <w:multiLevelType w:val="hybridMultilevel"/>
    <w:tmpl w:val="65CC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D13074"/>
    <w:multiLevelType w:val="hybridMultilevel"/>
    <w:tmpl w:val="3332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961AD1"/>
    <w:multiLevelType w:val="hybridMultilevel"/>
    <w:tmpl w:val="FD1E0712"/>
    <w:lvl w:ilvl="0" w:tplc="0552902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D763E4"/>
    <w:multiLevelType w:val="hybridMultilevel"/>
    <w:tmpl w:val="9D566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3833F5"/>
    <w:multiLevelType w:val="hybridMultilevel"/>
    <w:tmpl w:val="15F2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807E3A"/>
    <w:multiLevelType w:val="hybridMultilevel"/>
    <w:tmpl w:val="926A8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1C13C7"/>
    <w:multiLevelType w:val="hybridMultilevel"/>
    <w:tmpl w:val="0E869356"/>
    <w:lvl w:ilvl="0" w:tplc="C75CB3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8E50E1"/>
    <w:multiLevelType w:val="hybridMultilevel"/>
    <w:tmpl w:val="7E120050"/>
    <w:lvl w:ilvl="0" w:tplc="0552902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41A659D"/>
    <w:multiLevelType w:val="hybridMultilevel"/>
    <w:tmpl w:val="2D846870"/>
    <w:lvl w:ilvl="0" w:tplc="908A83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5F6E9A"/>
    <w:multiLevelType w:val="hybridMultilevel"/>
    <w:tmpl w:val="BBCE5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1"/>
  </w:num>
  <w:num w:numId="4">
    <w:abstractNumId w:val="18"/>
  </w:num>
  <w:num w:numId="5">
    <w:abstractNumId w:val="14"/>
  </w:num>
  <w:num w:numId="6">
    <w:abstractNumId w:val="15"/>
  </w:num>
  <w:num w:numId="7">
    <w:abstractNumId w:val="4"/>
  </w:num>
  <w:num w:numId="8">
    <w:abstractNumId w:val="8"/>
  </w:num>
  <w:num w:numId="9">
    <w:abstractNumId w:val="7"/>
  </w:num>
  <w:num w:numId="10">
    <w:abstractNumId w:val="2"/>
  </w:num>
  <w:num w:numId="11">
    <w:abstractNumId w:val="1"/>
  </w:num>
  <w:num w:numId="12">
    <w:abstractNumId w:val="10"/>
  </w:num>
  <w:num w:numId="13">
    <w:abstractNumId w:val="9"/>
  </w:num>
  <w:num w:numId="14">
    <w:abstractNumId w:val="3"/>
  </w:num>
  <w:num w:numId="15">
    <w:abstractNumId w:val="12"/>
  </w:num>
  <w:num w:numId="16">
    <w:abstractNumId w:val="6"/>
  </w:num>
  <w:num w:numId="17">
    <w:abstractNumId w:val="17"/>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DCD"/>
    <w:rsid w:val="00013142"/>
    <w:rsid w:val="000162C7"/>
    <w:rsid w:val="00026023"/>
    <w:rsid w:val="000276FE"/>
    <w:rsid w:val="00055A46"/>
    <w:rsid w:val="00092DE0"/>
    <w:rsid w:val="000A715E"/>
    <w:rsid w:val="000B4A30"/>
    <w:rsid w:val="000C66AA"/>
    <w:rsid w:val="000D2AFF"/>
    <w:rsid w:val="000E515A"/>
    <w:rsid w:val="000E69DC"/>
    <w:rsid w:val="00152917"/>
    <w:rsid w:val="00154E37"/>
    <w:rsid w:val="001664B1"/>
    <w:rsid w:val="001D0206"/>
    <w:rsid w:val="001F7487"/>
    <w:rsid w:val="001F7650"/>
    <w:rsid w:val="00206127"/>
    <w:rsid w:val="002255BB"/>
    <w:rsid w:val="00240637"/>
    <w:rsid w:val="00271897"/>
    <w:rsid w:val="002C07EB"/>
    <w:rsid w:val="002D3A40"/>
    <w:rsid w:val="003026FF"/>
    <w:rsid w:val="003254FB"/>
    <w:rsid w:val="00334D6F"/>
    <w:rsid w:val="00337CD6"/>
    <w:rsid w:val="003434E4"/>
    <w:rsid w:val="0035073E"/>
    <w:rsid w:val="003626B2"/>
    <w:rsid w:val="003C45F2"/>
    <w:rsid w:val="003D433D"/>
    <w:rsid w:val="00417B25"/>
    <w:rsid w:val="00425659"/>
    <w:rsid w:val="00453BE6"/>
    <w:rsid w:val="00454E3D"/>
    <w:rsid w:val="004569F9"/>
    <w:rsid w:val="00462375"/>
    <w:rsid w:val="004756EE"/>
    <w:rsid w:val="004771D1"/>
    <w:rsid w:val="00485371"/>
    <w:rsid w:val="004A011A"/>
    <w:rsid w:val="00503CC2"/>
    <w:rsid w:val="0051766A"/>
    <w:rsid w:val="00523365"/>
    <w:rsid w:val="0052591E"/>
    <w:rsid w:val="00586EAE"/>
    <w:rsid w:val="005A50A2"/>
    <w:rsid w:val="005A7CBE"/>
    <w:rsid w:val="005B6122"/>
    <w:rsid w:val="00616F0C"/>
    <w:rsid w:val="006175C5"/>
    <w:rsid w:val="00642A45"/>
    <w:rsid w:val="006526FA"/>
    <w:rsid w:val="006A1225"/>
    <w:rsid w:val="006B63E7"/>
    <w:rsid w:val="006C1320"/>
    <w:rsid w:val="006D21BF"/>
    <w:rsid w:val="006D4A33"/>
    <w:rsid w:val="006E506E"/>
    <w:rsid w:val="006F23A0"/>
    <w:rsid w:val="007065D7"/>
    <w:rsid w:val="00712779"/>
    <w:rsid w:val="0074646E"/>
    <w:rsid w:val="007655B5"/>
    <w:rsid w:val="00784DDF"/>
    <w:rsid w:val="0079380A"/>
    <w:rsid w:val="007B4940"/>
    <w:rsid w:val="007C04D7"/>
    <w:rsid w:val="007C374B"/>
    <w:rsid w:val="007D2E02"/>
    <w:rsid w:val="007F4A03"/>
    <w:rsid w:val="008030A3"/>
    <w:rsid w:val="00810BCD"/>
    <w:rsid w:val="00841DE4"/>
    <w:rsid w:val="00843A81"/>
    <w:rsid w:val="0086570F"/>
    <w:rsid w:val="00865D91"/>
    <w:rsid w:val="00874219"/>
    <w:rsid w:val="0087745C"/>
    <w:rsid w:val="008935D4"/>
    <w:rsid w:val="008B1541"/>
    <w:rsid w:val="008C5B85"/>
    <w:rsid w:val="00904271"/>
    <w:rsid w:val="00927E90"/>
    <w:rsid w:val="00987C10"/>
    <w:rsid w:val="009B4A32"/>
    <w:rsid w:val="009D5CBE"/>
    <w:rsid w:val="009E188D"/>
    <w:rsid w:val="00A141D3"/>
    <w:rsid w:val="00A36A4C"/>
    <w:rsid w:val="00A3753B"/>
    <w:rsid w:val="00A55DE5"/>
    <w:rsid w:val="00A63457"/>
    <w:rsid w:val="00A74738"/>
    <w:rsid w:val="00A806A0"/>
    <w:rsid w:val="00A853D6"/>
    <w:rsid w:val="00A90B0C"/>
    <w:rsid w:val="00A97422"/>
    <w:rsid w:val="00AC5263"/>
    <w:rsid w:val="00AD1F3D"/>
    <w:rsid w:val="00AE2553"/>
    <w:rsid w:val="00B17DCD"/>
    <w:rsid w:val="00B37BC8"/>
    <w:rsid w:val="00B4375D"/>
    <w:rsid w:val="00B812E5"/>
    <w:rsid w:val="00B8455E"/>
    <w:rsid w:val="00BB1B29"/>
    <w:rsid w:val="00BB2208"/>
    <w:rsid w:val="00BD1EAC"/>
    <w:rsid w:val="00BE258B"/>
    <w:rsid w:val="00BE2D65"/>
    <w:rsid w:val="00BF5DD5"/>
    <w:rsid w:val="00C10B90"/>
    <w:rsid w:val="00C13D38"/>
    <w:rsid w:val="00C27281"/>
    <w:rsid w:val="00C4609A"/>
    <w:rsid w:val="00C50526"/>
    <w:rsid w:val="00C90084"/>
    <w:rsid w:val="00C944DA"/>
    <w:rsid w:val="00CA2B7E"/>
    <w:rsid w:val="00CB3F32"/>
    <w:rsid w:val="00CC2771"/>
    <w:rsid w:val="00CC507F"/>
    <w:rsid w:val="00CE6C78"/>
    <w:rsid w:val="00CF0ECA"/>
    <w:rsid w:val="00CF7AEA"/>
    <w:rsid w:val="00D11C4D"/>
    <w:rsid w:val="00D24502"/>
    <w:rsid w:val="00D50019"/>
    <w:rsid w:val="00D71401"/>
    <w:rsid w:val="00D75D33"/>
    <w:rsid w:val="00D76139"/>
    <w:rsid w:val="00D978FA"/>
    <w:rsid w:val="00DA136B"/>
    <w:rsid w:val="00DA1B50"/>
    <w:rsid w:val="00DA6CA5"/>
    <w:rsid w:val="00DB4662"/>
    <w:rsid w:val="00DD145A"/>
    <w:rsid w:val="00DD377A"/>
    <w:rsid w:val="00E03C3A"/>
    <w:rsid w:val="00E04F28"/>
    <w:rsid w:val="00E10423"/>
    <w:rsid w:val="00E11859"/>
    <w:rsid w:val="00E219DA"/>
    <w:rsid w:val="00E22C28"/>
    <w:rsid w:val="00E374D4"/>
    <w:rsid w:val="00E46291"/>
    <w:rsid w:val="00E629CB"/>
    <w:rsid w:val="00ED01F7"/>
    <w:rsid w:val="00ED4719"/>
    <w:rsid w:val="00EE4D43"/>
    <w:rsid w:val="00F339A0"/>
    <w:rsid w:val="00F56210"/>
    <w:rsid w:val="00F74F4D"/>
    <w:rsid w:val="00FB48AD"/>
    <w:rsid w:val="00FC6DA6"/>
    <w:rsid w:val="00FD77D4"/>
    <w:rsid w:val="072AA083"/>
    <w:rsid w:val="0B6B6343"/>
    <w:rsid w:val="4127B9D9"/>
    <w:rsid w:val="64095712"/>
    <w:rsid w:val="7C162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11CC705"/>
  <w15:chartTrackingRefBased/>
  <w15:docId w15:val="{DEEAB170-301E-4369-A4D9-09CC733AA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7D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DCD"/>
    <w:rPr>
      <w:rFonts w:ascii="Segoe UI" w:hAnsi="Segoe UI" w:cs="Segoe UI"/>
      <w:sz w:val="18"/>
      <w:szCs w:val="18"/>
    </w:rPr>
  </w:style>
  <w:style w:type="character" w:styleId="Hyperlink">
    <w:name w:val="Hyperlink"/>
    <w:uiPriority w:val="99"/>
    <w:unhideWhenUsed/>
    <w:rsid w:val="00B17DCD"/>
    <w:rPr>
      <w:strike w:val="0"/>
      <w:dstrike w:val="0"/>
      <w:color w:val="0053A0"/>
      <w:u w:val="none"/>
      <w:effect w:val="none"/>
    </w:rPr>
  </w:style>
  <w:style w:type="paragraph" w:styleId="ListParagraph">
    <w:name w:val="List Paragraph"/>
    <w:basedOn w:val="Normal"/>
    <w:uiPriority w:val="34"/>
    <w:qFormat/>
    <w:rsid w:val="00B17DCD"/>
    <w:pPr>
      <w:ind w:left="720"/>
      <w:contextualSpacing/>
    </w:pPr>
  </w:style>
  <w:style w:type="paragraph" w:customStyle="1" w:styleId="Default">
    <w:name w:val="Default"/>
    <w:rsid w:val="00B17DC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FollowedHyperlink">
    <w:name w:val="FollowedHyperlink"/>
    <w:basedOn w:val="DefaultParagraphFont"/>
    <w:uiPriority w:val="99"/>
    <w:semiHidden/>
    <w:unhideWhenUsed/>
    <w:rsid w:val="0086570F"/>
    <w:rPr>
      <w:color w:val="954F72" w:themeColor="followedHyperlink"/>
      <w:u w:val="single"/>
    </w:rPr>
  </w:style>
  <w:style w:type="character" w:styleId="CommentReference">
    <w:name w:val="annotation reference"/>
    <w:basedOn w:val="DefaultParagraphFont"/>
    <w:uiPriority w:val="99"/>
    <w:semiHidden/>
    <w:unhideWhenUsed/>
    <w:rsid w:val="00810BCD"/>
    <w:rPr>
      <w:sz w:val="16"/>
      <w:szCs w:val="16"/>
    </w:rPr>
  </w:style>
  <w:style w:type="paragraph" w:styleId="CommentText">
    <w:name w:val="annotation text"/>
    <w:basedOn w:val="Normal"/>
    <w:link w:val="CommentTextChar"/>
    <w:uiPriority w:val="99"/>
    <w:semiHidden/>
    <w:unhideWhenUsed/>
    <w:rsid w:val="00810BCD"/>
    <w:pPr>
      <w:spacing w:line="240" w:lineRule="auto"/>
    </w:pPr>
    <w:rPr>
      <w:sz w:val="20"/>
      <w:szCs w:val="20"/>
    </w:rPr>
  </w:style>
  <w:style w:type="character" w:customStyle="1" w:styleId="CommentTextChar">
    <w:name w:val="Comment Text Char"/>
    <w:basedOn w:val="DefaultParagraphFont"/>
    <w:link w:val="CommentText"/>
    <w:uiPriority w:val="99"/>
    <w:semiHidden/>
    <w:rsid w:val="00810BCD"/>
    <w:rPr>
      <w:sz w:val="20"/>
      <w:szCs w:val="20"/>
    </w:rPr>
  </w:style>
  <w:style w:type="character" w:styleId="UnresolvedMention">
    <w:name w:val="Unresolved Mention"/>
    <w:basedOn w:val="DefaultParagraphFont"/>
    <w:uiPriority w:val="99"/>
    <w:semiHidden/>
    <w:unhideWhenUsed/>
    <w:rsid w:val="0071277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F7650"/>
    <w:rPr>
      <w:b/>
      <w:bCs/>
    </w:rPr>
  </w:style>
  <w:style w:type="character" w:customStyle="1" w:styleId="CommentSubjectChar">
    <w:name w:val="Comment Subject Char"/>
    <w:basedOn w:val="CommentTextChar"/>
    <w:link w:val="CommentSubject"/>
    <w:uiPriority w:val="99"/>
    <w:semiHidden/>
    <w:rsid w:val="001F7650"/>
    <w:rPr>
      <w:b/>
      <w:bCs/>
      <w:sz w:val="20"/>
      <w:szCs w:val="20"/>
    </w:rPr>
  </w:style>
  <w:style w:type="paragraph" w:styleId="Revision">
    <w:name w:val="Revision"/>
    <w:hidden/>
    <w:uiPriority w:val="99"/>
    <w:semiHidden/>
    <w:rsid w:val="001F7650"/>
    <w:pPr>
      <w:spacing w:after="0" w:line="240" w:lineRule="auto"/>
    </w:pPr>
  </w:style>
  <w:style w:type="paragraph" w:styleId="Header">
    <w:name w:val="header"/>
    <w:basedOn w:val="Normal"/>
    <w:link w:val="HeaderChar"/>
    <w:uiPriority w:val="99"/>
    <w:unhideWhenUsed/>
    <w:rsid w:val="002406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0637"/>
  </w:style>
  <w:style w:type="paragraph" w:styleId="Footer">
    <w:name w:val="footer"/>
    <w:basedOn w:val="Normal"/>
    <w:link w:val="FooterChar"/>
    <w:uiPriority w:val="99"/>
    <w:unhideWhenUsed/>
    <w:rsid w:val="002406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0637"/>
  </w:style>
  <w:style w:type="character" w:styleId="PageNumber">
    <w:name w:val="page number"/>
    <w:basedOn w:val="DefaultParagraphFont"/>
    <w:uiPriority w:val="99"/>
    <w:semiHidden/>
    <w:unhideWhenUsed/>
    <w:rsid w:val="00240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tsb.gov/investigations/AccidentReports/Reports/PAR2101.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ntsb.gov/investigations/AccidentReports/Reports/PAR1901.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tsb.gov/investigations/AccidentReports/Reports/PAR1101.pd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0F6A6D-3F73-499E-8D19-231F13F81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45b75-3ff2-4095-8524-470728d9e5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DC0CD-9B98-4F58-9218-405CDD4457B5}">
  <ds:schemaRefs>
    <ds:schemaRef ds:uri="http://schemas.microsoft.com/office/infopath/2007/PartnerControls"/>
    <ds:schemaRef ds:uri="http://www.w3.org/XML/1998/namespace"/>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96845b75-3ff2-4095-8524-470728d9e508"/>
    <ds:schemaRef ds:uri="http://schemas.microsoft.com/office/2006/metadata/properties"/>
  </ds:schemaRefs>
</ds:datastoreItem>
</file>

<file path=customXml/itemProps3.xml><?xml version="1.0" encoding="utf-8"?>
<ds:datastoreItem xmlns:ds="http://schemas.openxmlformats.org/officeDocument/2006/customXml" ds:itemID="{4F7B9E71-89E8-4125-9A09-0B28BFDF3D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976</Words>
  <Characters>5567</Characters>
  <Application>Microsoft Office Word</Application>
  <DocSecurity>0</DocSecurity>
  <Lines>46</Lines>
  <Paragraphs>13</Paragraphs>
  <ScaleCrop>false</ScaleCrop>
  <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 Stephanie</dc:creator>
  <cp:keywords/>
  <dc:description/>
  <cp:lastModifiedBy>Shaw Stephanie</cp:lastModifiedBy>
  <cp:revision>136</cp:revision>
  <dcterms:created xsi:type="dcterms:W3CDTF">2021-01-04T17:09:00Z</dcterms:created>
  <dcterms:modified xsi:type="dcterms:W3CDTF">2021-11-17T15:15:00Z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